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196"/>
        <w:gridCol w:w="8260"/>
      </w:tblGrid>
      <w:tr w:rsidR="008C1285" w:rsidTr="00CE327D">
        <w:trPr>
          <w:trHeight w:val="1691"/>
        </w:trPr>
        <w:tc>
          <w:tcPr>
            <w:tcW w:w="2122" w:type="dxa"/>
          </w:tcPr>
          <w:p w:rsidR="008C1285" w:rsidRDefault="008C1285" w:rsidP="00CE327D">
            <w:pPr>
              <w:rPr>
                <w:rFonts w:ascii="NTPreCursivefk" w:hAnsi="NTPreCursivefk"/>
              </w:rPr>
            </w:pPr>
            <w:r>
              <w:rPr>
                <w:noProof/>
              </w:rPr>
              <w:drawing>
                <wp:anchor distT="0" distB="0" distL="114300" distR="114300" simplePos="0" relativeHeight="251665408" behindDoc="1" locked="0" layoutInCell="1" allowOverlap="1">
                  <wp:simplePos x="0" y="0"/>
                  <wp:positionH relativeFrom="column">
                    <wp:posOffset>-3810</wp:posOffset>
                  </wp:positionH>
                  <wp:positionV relativeFrom="paragraph">
                    <wp:posOffset>93345</wp:posOffset>
                  </wp:positionV>
                  <wp:extent cx="1257300" cy="866775"/>
                  <wp:effectExtent l="0" t="0" r="0" b="9525"/>
                  <wp:wrapTight wrapText="bothSides">
                    <wp:wrapPolygon edited="0">
                      <wp:start x="0" y="0"/>
                      <wp:lineTo x="0" y="21363"/>
                      <wp:lineTo x="21273" y="21363"/>
                      <wp:lineTo x="21273" y="0"/>
                      <wp:lineTo x="0" y="0"/>
                    </wp:wrapPolygon>
                  </wp:wrapTight>
                  <wp:docPr id="1" name="Picture 1" descr="C:\My Documents\My Webs\draf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My Documents\My Webs\draft.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7300" cy="866775"/>
                          </a:xfrm>
                          <a:prstGeom prst="rect">
                            <a:avLst/>
                          </a:prstGeom>
                          <a:noFill/>
                        </pic:spPr>
                      </pic:pic>
                    </a:graphicData>
                  </a:graphic>
                  <wp14:sizeRelH relativeFrom="page">
                    <wp14:pctWidth>0</wp14:pctWidth>
                  </wp14:sizeRelH>
                  <wp14:sizeRelV relativeFrom="page">
                    <wp14:pctHeight>0</wp14:pctHeight>
                  </wp14:sizeRelV>
                </wp:anchor>
              </w:drawing>
            </w:r>
          </w:p>
        </w:tc>
        <w:tc>
          <w:tcPr>
            <w:tcW w:w="8334" w:type="dxa"/>
          </w:tcPr>
          <w:p w:rsidR="008C1285" w:rsidRDefault="008C1285" w:rsidP="00CE327D">
            <w:pPr>
              <w:rPr>
                <w:rFonts w:ascii="NTPreCursivefk" w:hAnsi="NTPreCursivefk"/>
                <w:sz w:val="48"/>
                <w:szCs w:val="48"/>
              </w:rPr>
            </w:pPr>
          </w:p>
          <w:p w:rsidR="008C1285" w:rsidRPr="00FE7212" w:rsidRDefault="008C1285" w:rsidP="00CE327D">
            <w:pPr>
              <w:jc w:val="center"/>
              <w:rPr>
                <w:rFonts w:ascii="NTPreCursivefk" w:hAnsi="NTPreCursivefk"/>
                <w:sz w:val="48"/>
                <w:szCs w:val="48"/>
              </w:rPr>
            </w:pPr>
            <w:r w:rsidRPr="00FE7212">
              <w:rPr>
                <w:rFonts w:ascii="NTPreCursivefk" w:hAnsi="NTPreCursivefk"/>
                <w:sz w:val="48"/>
                <w:szCs w:val="48"/>
              </w:rPr>
              <w:t>Deanery CE Primary School</w:t>
            </w:r>
          </w:p>
          <w:p w:rsidR="008C1285" w:rsidRDefault="008C1285" w:rsidP="00CE327D">
            <w:pPr>
              <w:jc w:val="center"/>
              <w:rPr>
                <w:rFonts w:ascii="NTPreCursivefk" w:hAnsi="NTPreCursivefk"/>
              </w:rPr>
            </w:pPr>
            <w:r>
              <w:rPr>
                <w:rFonts w:ascii="NTPreCursivefk" w:hAnsi="NTPreCursivefk"/>
                <w:sz w:val="48"/>
                <w:szCs w:val="48"/>
              </w:rPr>
              <w:t>Collective Worship</w:t>
            </w:r>
          </w:p>
        </w:tc>
      </w:tr>
    </w:tbl>
    <w:p w:rsidR="0047376E" w:rsidRPr="008C1285" w:rsidRDefault="0047376E" w:rsidP="00192A9A">
      <w:pPr>
        <w:rPr>
          <w:rFonts w:ascii="NTPreCursivefk" w:hAnsi="NTPreCursivefk" w:cs="Arial"/>
          <w:sz w:val="26"/>
          <w:szCs w:val="26"/>
        </w:rPr>
      </w:pPr>
    </w:p>
    <w:p w:rsidR="00A5324B" w:rsidRPr="00A5324B" w:rsidRDefault="00A5324B" w:rsidP="00192A9A">
      <w:pPr>
        <w:rPr>
          <w:rFonts w:ascii="NTPreCursivefk" w:hAnsi="NTPreCursivefk" w:cs="Arial"/>
          <w:sz w:val="26"/>
          <w:szCs w:val="26"/>
          <w:u w:val="single"/>
        </w:rPr>
      </w:pPr>
      <w:r w:rsidRPr="00A5324B">
        <w:rPr>
          <w:rFonts w:ascii="NTPreCursivefk" w:hAnsi="NTPreCursivefk" w:cs="Arial"/>
          <w:sz w:val="26"/>
          <w:szCs w:val="26"/>
          <w:u w:val="single"/>
        </w:rPr>
        <w:t>Intent</w:t>
      </w:r>
    </w:p>
    <w:p w:rsidR="006C1804" w:rsidRPr="006C1804" w:rsidRDefault="006C1804" w:rsidP="006C1804">
      <w:pPr>
        <w:rPr>
          <w:rFonts w:ascii="NTPreCursivefk" w:hAnsi="NTPreCursivefk" w:cs="Arial"/>
          <w:sz w:val="26"/>
          <w:szCs w:val="26"/>
        </w:rPr>
      </w:pPr>
      <w:r w:rsidRPr="006C1804">
        <w:rPr>
          <w:rFonts w:ascii="NTPreCursivefk" w:hAnsi="NTPreCursivefk" w:cs="Arial"/>
          <w:sz w:val="26"/>
          <w:szCs w:val="26"/>
        </w:rPr>
        <w:t xml:space="preserve">At Deanery collective worship is a highly valued part of the school day as it is the time when we gather together to affirm what is important to us, to our school and to our world. We take care to plan our collective worship so that it is inclusive, invitational, and inspiring. In our times of collective worship together, the school affirms the claims of Christianity which underpin the values of the school. It provides an opportunity for pupils to encounter God, whilst seeking to be relevant to, and inclusive of, all. It reflects our Anglican tradition as well as exploring with pupils and staff a variety of ways in which Christians worship God. </w:t>
      </w:r>
    </w:p>
    <w:p w:rsidR="006C1804" w:rsidRPr="006C1804" w:rsidRDefault="006C1804" w:rsidP="006C1804">
      <w:pPr>
        <w:rPr>
          <w:rFonts w:ascii="NTPreCursivefk" w:hAnsi="NTPreCursivefk" w:cs="Arial"/>
          <w:sz w:val="26"/>
          <w:szCs w:val="26"/>
        </w:rPr>
      </w:pPr>
      <w:r w:rsidRPr="006C1804">
        <w:rPr>
          <w:rFonts w:ascii="NTPreCursivefk" w:hAnsi="NTPreCursivefk" w:cs="Arial"/>
          <w:sz w:val="26"/>
          <w:szCs w:val="26"/>
        </w:rPr>
        <w:t xml:space="preserve">In acts of Collective Worship in our school it is recognised that in our school community, some members will come from families with a commitment to the Christian faith, others from families with a commitment to another faith and yet others will have no particular commitment to any tradition. Therefore the content and language of collective worship allows for different levels of response. It invites rather than coerces. </w:t>
      </w:r>
    </w:p>
    <w:p w:rsidR="006C1804" w:rsidRPr="006C1804" w:rsidRDefault="006C1804" w:rsidP="006C1804">
      <w:pPr>
        <w:rPr>
          <w:rFonts w:ascii="NTPreCursivefk" w:hAnsi="NTPreCursivefk" w:cs="Arial"/>
          <w:sz w:val="26"/>
          <w:szCs w:val="26"/>
        </w:rPr>
      </w:pPr>
      <w:r w:rsidRPr="006C1804">
        <w:rPr>
          <w:rFonts w:ascii="NTPreCursivefk" w:hAnsi="NTPreCursivefk" w:cs="Arial"/>
          <w:sz w:val="26"/>
          <w:szCs w:val="26"/>
        </w:rPr>
        <w:t>Collective worship in our school influences the way that we live together as a community and before God. Members of the community are challenged to think, act and live differently as a result of these times together.</w:t>
      </w:r>
    </w:p>
    <w:p w:rsidR="006C1804" w:rsidRDefault="006C1804" w:rsidP="00192A9A">
      <w:pPr>
        <w:rPr>
          <w:rFonts w:ascii="NTPreCursivefk" w:hAnsi="NTPreCursivefk" w:cs="Arial"/>
          <w:sz w:val="26"/>
          <w:szCs w:val="26"/>
          <w:lang w:val="en"/>
        </w:rPr>
      </w:pPr>
    </w:p>
    <w:p w:rsidR="00A5324B" w:rsidRPr="00A5324B" w:rsidRDefault="00A5324B" w:rsidP="00192A9A">
      <w:pPr>
        <w:rPr>
          <w:rFonts w:ascii="NTPreCursivefk" w:hAnsi="NTPreCursivefk" w:cs="Arial"/>
          <w:sz w:val="26"/>
          <w:szCs w:val="26"/>
          <w:u w:val="single"/>
        </w:rPr>
      </w:pPr>
      <w:r w:rsidRPr="00A5324B">
        <w:rPr>
          <w:rFonts w:ascii="NTPreCursivefk" w:hAnsi="NTPreCursivefk" w:cs="Arial"/>
          <w:sz w:val="26"/>
          <w:szCs w:val="26"/>
          <w:u w:val="single"/>
        </w:rPr>
        <w:t>Implementation</w:t>
      </w:r>
    </w:p>
    <w:p w:rsidR="00971039" w:rsidRDefault="00232386" w:rsidP="00192A9A">
      <w:pPr>
        <w:rPr>
          <w:rFonts w:ascii="NTPreCursivefk" w:hAnsi="NTPreCursivefk" w:cs="Arial"/>
          <w:sz w:val="26"/>
          <w:szCs w:val="26"/>
          <w:lang w:val="en"/>
        </w:rPr>
      </w:pPr>
      <w:r>
        <w:rPr>
          <w:rFonts w:ascii="NTPreCursivefk" w:hAnsi="NTPreCursivefk" w:cs="Arial"/>
          <w:sz w:val="26"/>
          <w:szCs w:val="26"/>
        </w:rPr>
        <w:t>Daily</w:t>
      </w:r>
      <w:r w:rsidR="00225EEA" w:rsidRPr="008C1285">
        <w:rPr>
          <w:rFonts w:ascii="NTPreCursivefk" w:hAnsi="NTPreCursivefk" w:cs="Arial"/>
          <w:sz w:val="26"/>
          <w:szCs w:val="26"/>
        </w:rPr>
        <w:t xml:space="preserve"> assemblies</w:t>
      </w:r>
      <w:r w:rsidR="00A5324B">
        <w:rPr>
          <w:rFonts w:ascii="NTPreCursivefk" w:hAnsi="NTPreCursivefk" w:cs="Arial"/>
          <w:sz w:val="26"/>
          <w:szCs w:val="26"/>
        </w:rPr>
        <w:t xml:space="preserve"> </w:t>
      </w:r>
      <w:r w:rsidR="00225EEA" w:rsidRPr="008C1285">
        <w:rPr>
          <w:rFonts w:ascii="NTPreCursivefk" w:hAnsi="NTPreCursivefk" w:cs="Arial"/>
          <w:sz w:val="26"/>
          <w:szCs w:val="26"/>
        </w:rPr>
        <w:t>follow a pattern for worship reflecting Anglican tradition</w:t>
      </w:r>
      <w:r w:rsidR="00A5324B" w:rsidRPr="00A5324B">
        <w:rPr>
          <w:rFonts w:ascii="NTPreCursivefk" w:hAnsi="NTPreCursivefk" w:cs="Arial"/>
          <w:sz w:val="26"/>
          <w:szCs w:val="26"/>
          <w:lang w:val="en"/>
        </w:rPr>
        <w:t xml:space="preserve"> of gathering, engaging, responding and sending out.</w:t>
      </w:r>
      <w:r w:rsidR="00A5324B" w:rsidRPr="00A5324B">
        <w:rPr>
          <w:rFonts w:ascii="Cambria" w:hAnsi="Cambria" w:cs="Cambria"/>
          <w:sz w:val="26"/>
          <w:szCs w:val="26"/>
          <w:lang w:val="en"/>
        </w:rPr>
        <w:t> </w:t>
      </w:r>
      <w:r w:rsidR="00A5324B" w:rsidRPr="00A5324B">
        <w:rPr>
          <w:rFonts w:ascii="NTPreCursivefk" w:hAnsi="NTPreCursivefk" w:cs="Arial"/>
          <w:sz w:val="26"/>
          <w:szCs w:val="26"/>
          <w:lang w:val="en"/>
        </w:rPr>
        <w:t xml:space="preserve"> </w:t>
      </w:r>
      <w:r w:rsidR="00A5324B">
        <w:rPr>
          <w:rFonts w:ascii="NTPreCursivefk" w:hAnsi="NTPreCursivefk" w:cs="Arial"/>
          <w:sz w:val="26"/>
          <w:szCs w:val="26"/>
          <w:lang w:val="en"/>
        </w:rPr>
        <w:t xml:space="preserve">Visitors including clergy are invited to lead </w:t>
      </w:r>
      <w:r>
        <w:rPr>
          <w:rFonts w:ascii="NTPreCursivefk" w:hAnsi="NTPreCursivefk" w:cs="Arial"/>
          <w:sz w:val="26"/>
          <w:szCs w:val="26"/>
          <w:lang w:val="en"/>
        </w:rPr>
        <w:t>assemblies and</w:t>
      </w:r>
      <w:r w:rsidR="00A5324B">
        <w:rPr>
          <w:rFonts w:ascii="NTPreCursivefk" w:hAnsi="NTPreCursivefk" w:cs="Arial"/>
          <w:sz w:val="26"/>
          <w:szCs w:val="26"/>
          <w:lang w:val="en"/>
        </w:rPr>
        <w:t xml:space="preserve"> teaching staff take turns to lead them too.</w:t>
      </w:r>
      <w:r>
        <w:rPr>
          <w:rFonts w:ascii="NTPreCursivefk" w:hAnsi="NTPreCursivefk" w:cs="Arial"/>
          <w:sz w:val="26"/>
          <w:szCs w:val="26"/>
          <w:lang w:val="en"/>
        </w:rPr>
        <w:t xml:space="preserve">  Weekly class prayer allows pupils to respond to themes from assemblies in their own classes.</w:t>
      </w:r>
      <w:r w:rsidR="001E1BEF">
        <w:rPr>
          <w:rFonts w:ascii="NTPreCursivefk" w:hAnsi="NTPreCursivefk" w:cs="Arial"/>
          <w:sz w:val="26"/>
          <w:szCs w:val="26"/>
          <w:lang w:val="en"/>
        </w:rPr>
        <w:t xml:space="preserve">  Celebration assemblies include an opportunity to celebrate pupils’ attitudes and achievements.</w:t>
      </w:r>
    </w:p>
    <w:p w:rsidR="001E1BEF" w:rsidRDefault="00971039" w:rsidP="00192A9A">
      <w:pPr>
        <w:rPr>
          <w:rFonts w:ascii="NTPreCursivefk" w:hAnsi="NTPreCursivefk" w:cs="Arial"/>
          <w:sz w:val="26"/>
          <w:szCs w:val="26"/>
          <w:lang w:val="en"/>
        </w:rPr>
      </w:pPr>
      <w:r w:rsidRPr="008C1285">
        <w:rPr>
          <w:noProof/>
        </w:rPr>
        <w:drawing>
          <wp:anchor distT="0" distB="0" distL="114300" distR="114300" simplePos="0" relativeHeight="251666432" behindDoc="1" locked="0" layoutInCell="1" allowOverlap="1" wp14:anchorId="1DB9D91D" wp14:editId="7DCAF5FD">
            <wp:simplePos x="0" y="0"/>
            <wp:positionH relativeFrom="margin">
              <wp:posOffset>3987165</wp:posOffset>
            </wp:positionH>
            <wp:positionV relativeFrom="paragraph">
              <wp:posOffset>6985</wp:posOffset>
            </wp:positionV>
            <wp:extent cx="2762885" cy="1409700"/>
            <wp:effectExtent l="0" t="0" r="0" b="0"/>
            <wp:wrapTight wrapText="bothSides">
              <wp:wrapPolygon edited="0">
                <wp:start x="0" y="0"/>
                <wp:lineTo x="0" y="21308"/>
                <wp:lineTo x="21446" y="21308"/>
                <wp:lineTo x="2144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a:extLst>
                        <a:ext uri="{28A0092B-C50C-407E-A947-70E740481C1C}">
                          <a14:useLocalDpi xmlns:a14="http://schemas.microsoft.com/office/drawing/2010/main" val="0"/>
                        </a:ext>
                      </a:extLst>
                    </a:blip>
                    <a:srcRect t="25300"/>
                    <a:stretch/>
                  </pic:blipFill>
                  <pic:spPr bwMode="auto">
                    <a:xfrm>
                      <a:off x="0" y="0"/>
                      <a:ext cx="2762885" cy="1409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E1BEF">
        <w:rPr>
          <w:rFonts w:ascii="NTPreCursivefk" w:hAnsi="NTPreCursivefk" w:cs="Arial"/>
          <w:sz w:val="26"/>
          <w:szCs w:val="26"/>
          <w:lang w:val="en"/>
        </w:rPr>
        <w:t xml:space="preserve">  </w:t>
      </w:r>
    </w:p>
    <w:p w:rsidR="00225EEA" w:rsidRPr="001E1BEF" w:rsidRDefault="00225EEA" w:rsidP="001E1BEF">
      <w:pPr>
        <w:pStyle w:val="ListParagraph"/>
        <w:numPr>
          <w:ilvl w:val="0"/>
          <w:numId w:val="19"/>
        </w:numPr>
        <w:rPr>
          <w:rFonts w:ascii="NTPreCursivefk" w:hAnsi="NTPreCursivefk" w:cs="Arial"/>
          <w:sz w:val="26"/>
          <w:szCs w:val="26"/>
        </w:rPr>
      </w:pPr>
      <w:r w:rsidRPr="001E1BEF">
        <w:rPr>
          <w:rFonts w:ascii="NTPreCursivefk" w:hAnsi="NTPreCursivefk" w:cs="Arial"/>
          <w:sz w:val="26"/>
          <w:szCs w:val="26"/>
        </w:rPr>
        <w:t>Gat</w:t>
      </w:r>
      <w:r w:rsidR="001E1BEF" w:rsidRPr="001E1BEF">
        <w:rPr>
          <w:rFonts w:ascii="NTPreCursivefk" w:hAnsi="NTPreCursivefk" w:cs="Arial"/>
          <w:sz w:val="26"/>
          <w:szCs w:val="26"/>
        </w:rPr>
        <w:t>hering – Greeting, liturgy, worship song</w:t>
      </w:r>
    </w:p>
    <w:p w:rsidR="00225EEA" w:rsidRPr="001E1BEF" w:rsidRDefault="00225EEA" w:rsidP="001E1BEF">
      <w:pPr>
        <w:pStyle w:val="ListParagraph"/>
        <w:numPr>
          <w:ilvl w:val="0"/>
          <w:numId w:val="19"/>
        </w:numPr>
        <w:rPr>
          <w:rFonts w:ascii="NTPreCursivefk" w:hAnsi="NTPreCursivefk" w:cs="Arial"/>
          <w:sz w:val="26"/>
          <w:szCs w:val="26"/>
        </w:rPr>
      </w:pPr>
      <w:r w:rsidRPr="001E1BEF">
        <w:rPr>
          <w:rFonts w:ascii="NTPreCursivefk" w:hAnsi="NTPreCursivefk" w:cs="Arial"/>
          <w:sz w:val="26"/>
          <w:szCs w:val="26"/>
        </w:rPr>
        <w:t>Engaging- Teaching, story</w:t>
      </w:r>
    </w:p>
    <w:p w:rsidR="00225EEA" w:rsidRPr="001E1BEF" w:rsidRDefault="00225EEA" w:rsidP="001E1BEF">
      <w:pPr>
        <w:pStyle w:val="ListParagraph"/>
        <w:numPr>
          <w:ilvl w:val="0"/>
          <w:numId w:val="19"/>
        </w:numPr>
        <w:rPr>
          <w:rFonts w:ascii="NTPreCursivefk" w:hAnsi="NTPreCursivefk" w:cs="Arial"/>
          <w:sz w:val="26"/>
          <w:szCs w:val="26"/>
        </w:rPr>
      </w:pPr>
      <w:r w:rsidRPr="001E1BEF">
        <w:rPr>
          <w:rFonts w:ascii="NTPreCursivefk" w:hAnsi="NTPreCursivefk" w:cs="Arial"/>
          <w:sz w:val="26"/>
          <w:szCs w:val="26"/>
        </w:rPr>
        <w:t xml:space="preserve">Responding- e.g. song, prayer, reflection, </w:t>
      </w:r>
      <w:proofErr w:type="gramStart"/>
      <w:r w:rsidRPr="001E1BEF">
        <w:rPr>
          <w:rFonts w:ascii="NTPreCursivefk" w:hAnsi="NTPreCursivefk" w:cs="Arial"/>
          <w:sz w:val="26"/>
          <w:szCs w:val="26"/>
        </w:rPr>
        <w:t>question</w:t>
      </w:r>
      <w:proofErr w:type="gramEnd"/>
      <w:r w:rsidRPr="001E1BEF">
        <w:rPr>
          <w:rFonts w:ascii="NTPreCursivefk" w:hAnsi="NTPreCursivefk" w:cs="Arial"/>
          <w:sz w:val="26"/>
          <w:szCs w:val="26"/>
        </w:rPr>
        <w:t xml:space="preserve"> –’what have we learnt about Jesus?’</w:t>
      </w:r>
      <w:bookmarkStart w:id="0" w:name="_GoBack"/>
      <w:bookmarkEnd w:id="0"/>
    </w:p>
    <w:p w:rsidR="00225EEA" w:rsidRPr="001E1BEF" w:rsidRDefault="00225EEA" w:rsidP="001E1BEF">
      <w:pPr>
        <w:pStyle w:val="ListParagraph"/>
        <w:numPr>
          <w:ilvl w:val="0"/>
          <w:numId w:val="19"/>
        </w:numPr>
        <w:rPr>
          <w:rFonts w:ascii="NTPreCursivefk" w:hAnsi="NTPreCursivefk" w:cs="Arial"/>
          <w:sz w:val="26"/>
          <w:szCs w:val="26"/>
        </w:rPr>
      </w:pPr>
      <w:r w:rsidRPr="001E1BEF">
        <w:rPr>
          <w:rFonts w:ascii="NTPreCursivefk" w:hAnsi="NTPreCursivefk" w:cs="Arial"/>
          <w:sz w:val="26"/>
          <w:szCs w:val="26"/>
        </w:rPr>
        <w:t>Sending – Question e.g. ‘How can you show you’re generous? Blessing</w:t>
      </w:r>
    </w:p>
    <w:p w:rsidR="00A5324B" w:rsidRDefault="00A5324B" w:rsidP="00A5324B">
      <w:pPr>
        <w:rPr>
          <w:rFonts w:ascii="NTPreCursivefk" w:hAnsi="NTPreCursivefk" w:cs="Arial"/>
          <w:sz w:val="26"/>
          <w:szCs w:val="26"/>
        </w:rPr>
      </w:pPr>
    </w:p>
    <w:p w:rsidR="00232386" w:rsidRDefault="00232386" w:rsidP="00A5324B">
      <w:pPr>
        <w:rPr>
          <w:rFonts w:ascii="NTPreCursivefk" w:hAnsi="NTPreCursivefk" w:cs="Arial"/>
          <w:sz w:val="26"/>
          <w:szCs w:val="26"/>
        </w:rPr>
      </w:pPr>
      <w:r w:rsidRPr="00232386">
        <w:rPr>
          <w:rFonts w:ascii="NTPreCursivefk" w:hAnsi="NTPreCursivefk" w:cs="Arial"/>
          <w:sz w:val="26"/>
          <w:szCs w:val="26"/>
        </w:rPr>
        <w:t xml:space="preserve">A two year cycle of themes has been developed and discussed with local clergy. Year one of the cycle follows the story of the Bible whilst year two of the cycle is linked to our school values. They are intended to be detailed enough to provide both continuity and development of themes and are sufficiently broad to allow a variety of people to lead the assembly in their own distinctive way. On occasions it is recognised that those leading worship may feel that they need to respond to local or national events. We are actively encouraging pupils to make a contribution to planning and helping to lead acts of collective worship with the worship council leading one assembly each half term using the seeing </w:t>
      </w:r>
      <w:proofErr w:type="spellStart"/>
      <w:r w:rsidRPr="00232386">
        <w:rPr>
          <w:rFonts w:ascii="NTPreCursivefk" w:hAnsi="NTPreCursivefk" w:cs="Arial"/>
          <w:sz w:val="26"/>
          <w:szCs w:val="26"/>
        </w:rPr>
        <w:t>anew</w:t>
      </w:r>
      <w:proofErr w:type="spellEnd"/>
      <w:r w:rsidRPr="00232386">
        <w:rPr>
          <w:rFonts w:ascii="NTPreCursivefk" w:hAnsi="NTPreCursivefk" w:cs="Arial"/>
          <w:sz w:val="26"/>
          <w:szCs w:val="26"/>
        </w:rPr>
        <w:t xml:space="preserve"> approach. Other pupil councils also lead acts of worship.</w:t>
      </w:r>
    </w:p>
    <w:p w:rsidR="00232386" w:rsidRDefault="00232386" w:rsidP="00A5324B">
      <w:pPr>
        <w:rPr>
          <w:rFonts w:ascii="NTPreCursivefk" w:hAnsi="NTPreCursivefk" w:cs="Arial"/>
          <w:sz w:val="26"/>
          <w:szCs w:val="26"/>
        </w:rPr>
      </w:pPr>
    </w:p>
    <w:p w:rsidR="00A5324B" w:rsidRDefault="00A5324B" w:rsidP="00A5324B">
      <w:pPr>
        <w:rPr>
          <w:rFonts w:ascii="NTPreCursivefk" w:hAnsi="NTPreCursivefk" w:cs="Arial"/>
          <w:sz w:val="26"/>
          <w:szCs w:val="26"/>
        </w:rPr>
      </w:pPr>
      <w:r>
        <w:rPr>
          <w:rFonts w:ascii="NTPreCursivefk" w:hAnsi="NTPreCursivefk" w:cs="Arial"/>
          <w:sz w:val="26"/>
          <w:szCs w:val="26"/>
        </w:rPr>
        <w:t>Worship areas are available for all children in their own classroom or shared area.  These are individual to each class and can be accessed by children throughout the day.  An outside worship area is available between KS1 and KS2 playground.</w:t>
      </w:r>
    </w:p>
    <w:p w:rsidR="00A5324B" w:rsidRPr="008C1285" w:rsidRDefault="00A5324B" w:rsidP="00A5324B">
      <w:pPr>
        <w:rPr>
          <w:rFonts w:ascii="NTPreCursivefk" w:hAnsi="NTPreCursivefk" w:cs="Arial"/>
          <w:sz w:val="26"/>
          <w:szCs w:val="26"/>
        </w:rPr>
      </w:pPr>
    </w:p>
    <w:p w:rsidR="008C1285" w:rsidRDefault="00A5324B" w:rsidP="008C1285">
      <w:pPr>
        <w:rPr>
          <w:rFonts w:ascii="NTPreCursivefk" w:hAnsi="NTPreCursivefk" w:cs="Arial"/>
          <w:sz w:val="26"/>
          <w:szCs w:val="26"/>
        </w:rPr>
      </w:pPr>
      <w:r>
        <w:rPr>
          <w:rFonts w:ascii="NTPreCursivefk" w:hAnsi="NTPreCursivefk" w:cs="Arial"/>
          <w:sz w:val="26"/>
          <w:szCs w:val="26"/>
        </w:rPr>
        <w:t xml:space="preserve">An annual cycle of services based on the Christian calendar are celebrated in conjunction with the local Church.  Twice a year these services include communion for each key stage.  </w:t>
      </w:r>
    </w:p>
    <w:sectPr w:rsidR="008C1285" w:rsidSect="008C128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NTPreCursivefk">
    <w:panose1 w:val="03000400000000000000"/>
    <w:charset w:val="00"/>
    <w:family w:val="script"/>
    <w:pitch w:val="variable"/>
    <w:sig w:usb0="00000003" w:usb1="1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A3A72"/>
    <w:multiLevelType w:val="hybridMultilevel"/>
    <w:tmpl w:val="D4487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065DC6"/>
    <w:multiLevelType w:val="hybridMultilevel"/>
    <w:tmpl w:val="83A4978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C87F53"/>
    <w:multiLevelType w:val="hybridMultilevel"/>
    <w:tmpl w:val="96A24EF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584892"/>
    <w:multiLevelType w:val="hybridMultilevel"/>
    <w:tmpl w:val="A868447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D932E6"/>
    <w:multiLevelType w:val="hybridMultilevel"/>
    <w:tmpl w:val="D4568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C722B2"/>
    <w:multiLevelType w:val="hybridMultilevel"/>
    <w:tmpl w:val="83503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614679"/>
    <w:multiLevelType w:val="hybridMultilevel"/>
    <w:tmpl w:val="A2DA2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AF7C03"/>
    <w:multiLevelType w:val="hybridMultilevel"/>
    <w:tmpl w:val="D39A3E2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102A41"/>
    <w:multiLevelType w:val="hybridMultilevel"/>
    <w:tmpl w:val="716C9F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673EF"/>
    <w:multiLevelType w:val="hybridMultilevel"/>
    <w:tmpl w:val="D3842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C4152F"/>
    <w:multiLevelType w:val="hybridMultilevel"/>
    <w:tmpl w:val="BC1CF05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290512"/>
    <w:multiLevelType w:val="hybridMultilevel"/>
    <w:tmpl w:val="531CC11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2352DE"/>
    <w:multiLevelType w:val="hybridMultilevel"/>
    <w:tmpl w:val="96CC9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653560"/>
    <w:multiLevelType w:val="hybridMultilevel"/>
    <w:tmpl w:val="C4F6C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662CD8"/>
    <w:multiLevelType w:val="hybridMultilevel"/>
    <w:tmpl w:val="2F4E4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4935AB"/>
    <w:multiLevelType w:val="hybridMultilevel"/>
    <w:tmpl w:val="63BEF956"/>
    <w:lvl w:ilvl="0" w:tplc="D9C62768">
      <w:start w:val="1"/>
      <w:numFmt w:val="bullet"/>
      <w:lvlText w:val="•"/>
      <w:lvlJc w:val="left"/>
      <w:pPr>
        <w:tabs>
          <w:tab w:val="num" w:pos="720"/>
        </w:tabs>
        <w:ind w:left="720" w:hanging="360"/>
      </w:pPr>
      <w:rPr>
        <w:rFonts w:ascii="Arial" w:hAnsi="Arial" w:hint="default"/>
      </w:rPr>
    </w:lvl>
    <w:lvl w:ilvl="1" w:tplc="381E6772" w:tentative="1">
      <w:start w:val="1"/>
      <w:numFmt w:val="bullet"/>
      <w:lvlText w:val="•"/>
      <w:lvlJc w:val="left"/>
      <w:pPr>
        <w:tabs>
          <w:tab w:val="num" w:pos="1440"/>
        </w:tabs>
        <w:ind w:left="1440" w:hanging="360"/>
      </w:pPr>
      <w:rPr>
        <w:rFonts w:ascii="Arial" w:hAnsi="Arial" w:hint="default"/>
      </w:rPr>
    </w:lvl>
    <w:lvl w:ilvl="2" w:tplc="F1608AEE" w:tentative="1">
      <w:start w:val="1"/>
      <w:numFmt w:val="bullet"/>
      <w:lvlText w:val="•"/>
      <w:lvlJc w:val="left"/>
      <w:pPr>
        <w:tabs>
          <w:tab w:val="num" w:pos="2160"/>
        </w:tabs>
        <w:ind w:left="2160" w:hanging="360"/>
      </w:pPr>
      <w:rPr>
        <w:rFonts w:ascii="Arial" w:hAnsi="Arial" w:hint="default"/>
      </w:rPr>
    </w:lvl>
    <w:lvl w:ilvl="3" w:tplc="37BC9576" w:tentative="1">
      <w:start w:val="1"/>
      <w:numFmt w:val="bullet"/>
      <w:lvlText w:val="•"/>
      <w:lvlJc w:val="left"/>
      <w:pPr>
        <w:tabs>
          <w:tab w:val="num" w:pos="2880"/>
        </w:tabs>
        <w:ind w:left="2880" w:hanging="360"/>
      </w:pPr>
      <w:rPr>
        <w:rFonts w:ascii="Arial" w:hAnsi="Arial" w:hint="default"/>
      </w:rPr>
    </w:lvl>
    <w:lvl w:ilvl="4" w:tplc="3DC89084" w:tentative="1">
      <w:start w:val="1"/>
      <w:numFmt w:val="bullet"/>
      <w:lvlText w:val="•"/>
      <w:lvlJc w:val="left"/>
      <w:pPr>
        <w:tabs>
          <w:tab w:val="num" w:pos="3600"/>
        </w:tabs>
        <w:ind w:left="3600" w:hanging="360"/>
      </w:pPr>
      <w:rPr>
        <w:rFonts w:ascii="Arial" w:hAnsi="Arial" w:hint="default"/>
      </w:rPr>
    </w:lvl>
    <w:lvl w:ilvl="5" w:tplc="A08EFF90" w:tentative="1">
      <w:start w:val="1"/>
      <w:numFmt w:val="bullet"/>
      <w:lvlText w:val="•"/>
      <w:lvlJc w:val="left"/>
      <w:pPr>
        <w:tabs>
          <w:tab w:val="num" w:pos="4320"/>
        </w:tabs>
        <w:ind w:left="4320" w:hanging="360"/>
      </w:pPr>
      <w:rPr>
        <w:rFonts w:ascii="Arial" w:hAnsi="Arial" w:hint="default"/>
      </w:rPr>
    </w:lvl>
    <w:lvl w:ilvl="6" w:tplc="FF34258E" w:tentative="1">
      <w:start w:val="1"/>
      <w:numFmt w:val="bullet"/>
      <w:lvlText w:val="•"/>
      <w:lvlJc w:val="left"/>
      <w:pPr>
        <w:tabs>
          <w:tab w:val="num" w:pos="5040"/>
        </w:tabs>
        <w:ind w:left="5040" w:hanging="360"/>
      </w:pPr>
      <w:rPr>
        <w:rFonts w:ascii="Arial" w:hAnsi="Arial" w:hint="default"/>
      </w:rPr>
    </w:lvl>
    <w:lvl w:ilvl="7" w:tplc="208C1108" w:tentative="1">
      <w:start w:val="1"/>
      <w:numFmt w:val="bullet"/>
      <w:lvlText w:val="•"/>
      <w:lvlJc w:val="left"/>
      <w:pPr>
        <w:tabs>
          <w:tab w:val="num" w:pos="5760"/>
        </w:tabs>
        <w:ind w:left="5760" w:hanging="360"/>
      </w:pPr>
      <w:rPr>
        <w:rFonts w:ascii="Arial" w:hAnsi="Arial" w:hint="default"/>
      </w:rPr>
    </w:lvl>
    <w:lvl w:ilvl="8" w:tplc="C5862AE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967431D"/>
    <w:multiLevelType w:val="hybridMultilevel"/>
    <w:tmpl w:val="ED56AAB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DF2CD8"/>
    <w:multiLevelType w:val="hybridMultilevel"/>
    <w:tmpl w:val="1E98F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C175E7"/>
    <w:multiLevelType w:val="hybridMultilevel"/>
    <w:tmpl w:val="EC44B00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3"/>
  </w:num>
  <w:num w:numId="4">
    <w:abstractNumId w:val="10"/>
  </w:num>
  <w:num w:numId="5">
    <w:abstractNumId w:val="11"/>
  </w:num>
  <w:num w:numId="6">
    <w:abstractNumId w:val="1"/>
  </w:num>
  <w:num w:numId="7">
    <w:abstractNumId w:val="16"/>
  </w:num>
  <w:num w:numId="8">
    <w:abstractNumId w:val="7"/>
  </w:num>
  <w:num w:numId="9">
    <w:abstractNumId w:val="18"/>
  </w:num>
  <w:num w:numId="10">
    <w:abstractNumId w:val="15"/>
  </w:num>
  <w:num w:numId="11">
    <w:abstractNumId w:val="14"/>
  </w:num>
  <w:num w:numId="12">
    <w:abstractNumId w:val="5"/>
  </w:num>
  <w:num w:numId="13">
    <w:abstractNumId w:val="12"/>
  </w:num>
  <w:num w:numId="14">
    <w:abstractNumId w:val="6"/>
  </w:num>
  <w:num w:numId="15">
    <w:abstractNumId w:val="0"/>
  </w:num>
  <w:num w:numId="16">
    <w:abstractNumId w:val="13"/>
  </w:num>
  <w:num w:numId="17">
    <w:abstractNumId w:val="4"/>
  </w:num>
  <w:num w:numId="18">
    <w:abstractNumId w:val="9"/>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3ED"/>
    <w:rsid w:val="00192A9A"/>
    <w:rsid w:val="001E1BEF"/>
    <w:rsid w:val="001E6138"/>
    <w:rsid w:val="00225EEA"/>
    <w:rsid w:val="00232386"/>
    <w:rsid w:val="00366C54"/>
    <w:rsid w:val="0047376E"/>
    <w:rsid w:val="00496947"/>
    <w:rsid w:val="00587729"/>
    <w:rsid w:val="005C43DA"/>
    <w:rsid w:val="005C4982"/>
    <w:rsid w:val="005D4D58"/>
    <w:rsid w:val="005E3800"/>
    <w:rsid w:val="0064063C"/>
    <w:rsid w:val="006C1804"/>
    <w:rsid w:val="007218A5"/>
    <w:rsid w:val="007F6763"/>
    <w:rsid w:val="008C1285"/>
    <w:rsid w:val="00971039"/>
    <w:rsid w:val="00993138"/>
    <w:rsid w:val="009C58AC"/>
    <w:rsid w:val="00A3279F"/>
    <w:rsid w:val="00A5324B"/>
    <w:rsid w:val="00AF13ED"/>
    <w:rsid w:val="00C1080C"/>
    <w:rsid w:val="00CD7D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72A4B"/>
  <w15:docId w15:val="{0FA8B8CB-E57D-441D-8360-58453DCC3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3E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7F67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F67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18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391052">
      <w:bodyDiv w:val="1"/>
      <w:marLeft w:val="0"/>
      <w:marRight w:val="0"/>
      <w:marTop w:val="0"/>
      <w:marBottom w:val="0"/>
      <w:divBdr>
        <w:top w:val="none" w:sz="0" w:space="0" w:color="auto"/>
        <w:left w:val="none" w:sz="0" w:space="0" w:color="auto"/>
        <w:bottom w:val="none" w:sz="0" w:space="0" w:color="auto"/>
        <w:right w:val="none" w:sz="0" w:space="0" w:color="auto"/>
      </w:divBdr>
      <w:divsChild>
        <w:div w:id="1784835500">
          <w:marLeft w:val="547"/>
          <w:marRight w:val="0"/>
          <w:marTop w:val="154"/>
          <w:marBottom w:val="0"/>
          <w:divBdr>
            <w:top w:val="none" w:sz="0" w:space="0" w:color="auto"/>
            <w:left w:val="none" w:sz="0" w:space="0" w:color="auto"/>
            <w:bottom w:val="none" w:sz="0" w:space="0" w:color="auto"/>
            <w:right w:val="none" w:sz="0" w:space="0" w:color="auto"/>
          </w:divBdr>
        </w:div>
        <w:div w:id="273294672">
          <w:marLeft w:val="547"/>
          <w:marRight w:val="0"/>
          <w:marTop w:val="154"/>
          <w:marBottom w:val="0"/>
          <w:divBdr>
            <w:top w:val="none" w:sz="0" w:space="0" w:color="auto"/>
            <w:left w:val="none" w:sz="0" w:space="0" w:color="auto"/>
            <w:bottom w:val="none" w:sz="0" w:space="0" w:color="auto"/>
            <w:right w:val="none" w:sz="0" w:space="0" w:color="auto"/>
          </w:divBdr>
        </w:div>
        <w:div w:id="784539217">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480</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EJenkins</dc:creator>
  <cp:lastModifiedBy>Office 2016</cp:lastModifiedBy>
  <cp:revision>8</cp:revision>
  <dcterms:created xsi:type="dcterms:W3CDTF">2020-08-03T11:11:00Z</dcterms:created>
  <dcterms:modified xsi:type="dcterms:W3CDTF">2020-08-07T08:32:00Z</dcterms:modified>
</cp:coreProperties>
</file>